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9" w:rsidRDefault="00FB3AE9" w:rsidP="00FB3AE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466090" cy="44259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E9" w:rsidRDefault="00FB3AE9" w:rsidP="00FB3AE9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FB3AE9" w:rsidRDefault="00FB3AE9" w:rsidP="00FB3AE9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FB3AE9" w:rsidRPr="00567D8A" w:rsidRDefault="00FB3AE9" w:rsidP="00FB3AE9">
      <w:pPr>
        <w:pStyle w:val="1"/>
        <w:pBdr>
          <w:bottom w:val="double" w:sz="18" w:space="1" w:color="auto"/>
        </w:pBdr>
        <w:jc w:val="center"/>
        <w:rPr>
          <w:rFonts w:ascii="a_Timer(05%) Bashkir" w:hAnsi="a_Timer(05%) Bashkir" w:cs="Arial"/>
          <w:b/>
          <w:sz w:val="20"/>
        </w:rPr>
      </w:pPr>
      <w:r w:rsidRPr="00567D8A">
        <w:rPr>
          <w:rFonts w:ascii="a_Timer(05%) Bashkir" w:hAnsi="a_Timer(05%) Bashkir" w:cs="Arial"/>
          <w:b/>
          <w:sz w:val="20"/>
        </w:rPr>
        <w:t xml:space="preserve">АДМИНИСТРАЦИЯ СЕЛЬСКОГО ПОСЕЛЕНИЯ </w:t>
      </w:r>
      <w:r>
        <w:rPr>
          <w:rFonts w:ascii="a_Timer(05%) Bashkir" w:hAnsi="a_Timer(05%) Bashkir" w:cs="Arial"/>
          <w:b/>
          <w:sz w:val="20"/>
        </w:rPr>
        <w:t>КАЗАНСКИЙ</w:t>
      </w:r>
      <w:r w:rsidRPr="00567D8A">
        <w:rPr>
          <w:rFonts w:ascii="a_Timer(05%) Bashkir" w:hAnsi="a_Timer(05%) Bashkir" w:cs="Arial"/>
          <w:b/>
          <w:sz w:val="20"/>
        </w:rPr>
        <w:t xml:space="preserve"> СЕЛЬСОВЕТ</w:t>
      </w:r>
    </w:p>
    <w:p w:rsidR="00FB3AE9" w:rsidRPr="00567D8A" w:rsidRDefault="00FB3AE9" w:rsidP="00FB3AE9">
      <w:pPr>
        <w:pStyle w:val="1"/>
        <w:pBdr>
          <w:bottom w:val="double" w:sz="18" w:space="1" w:color="auto"/>
        </w:pBdr>
        <w:jc w:val="center"/>
        <w:rPr>
          <w:rFonts w:ascii="a_Timer(05%) Bashkir" w:hAnsi="a_Timer(05%) Bashkir" w:cs="Arial"/>
          <w:b/>
          <w:sz w:val="20"/>
        </w:rPr>
      </w:pPr>
      <w:r w:rsidRPr="00567D8A">
        <w:rPr>
          <w:rFonts w:ascii="a_Timer(05%) Bashkir" w:hAnsi="a_Timer(05%) Bashkir" w:cs="Arial"/>
          <w:b/>
          <w:sz w:val="20"/>
        </w:rPr>
        <w:t xml:space="preserve">МУНИЦИПАЛЬНОГО РАЙОНА АЛЬШЕЕВСКИЙ РАЙОН </w:t>
      </w:r>
    </w:p>
    <w:p w:rsidR="00FB3AE9" w:rsidRPr="00B95CEF" w:rsidRDefault="00FB3AE9" w:rsidP="00FB3AE9">
      <w:pPr>
        <w:pStyle w:val="1"/>
        <w:pBdr>
          <w:bottom w:val="double" w:sz="18" w:space="1" w:color="auto"/>
        </w:pBdr>
        <w:jc w:val="center"/>
        <w:rPr>
          <w:rFonts w:ascii="a_Timer(05%) Bashkir" w:hAnsi="a_Timer(05%) Bashkir" w:cs="Arial"/>
          <w:b/>
        </w:rPr>
      </w:pPr>
      <w:r w:rsidRPr="00567D8A">
        <w:rPr>
          <w:rFonts w:ascii="a_Timer(05%) Bashkir" w:hAnsi="a_Timer(05%) Bashkir" w:cs="Arial"/>
          <w:b/>
          <w:sz w:val="20"/>
        </w:rPr>
        <w:t>РЕСПУБЛИКИ БАШКОРТОСТАН</w:t>
      </w:r>
    </w:p>
    <w:p w:rsidR="00FB3AE9" w:rsidRPr="00B95CEF" w:rsidRDefault="00FB3AE9" w:rsidP="00FB3AE9">
      <w:pPr>
        <w:pStyle w:val="1"/>
        <w:pBdr>
          <w:bottom w:val="double" w:sz="18" w:space="1" w:color="auto"/>
        </w:pBdr>
        <w:jc w:val="center"/>
        <w:rPr>
          <w:rFonts w:ascii="a_Timer(05%) Bashkir" w:hAnsi="a_Timer(05%) Bashkir"/>
          <w:b/>
          <w:sz w:val="4"/>
          <w:szCs w:val="4"/>
        </w:rPr>
      </w:pPr>
    </w:p>
    <w:p w:rsidR="00FB3AE9" w:rsidRDefault="00FB3AE9" w:rsidP="00FB3AE9">
      <w:pPr>
        <w:pStyle w:val="1"/>
        <w:pBdr>
          <w:bottom w:val="double" w:sz="18" w:space="1" w:color="auto"/>
        </w:pBdr>
        <w:jc w:val="center"/>
        <w:rPr>
          <w:rFonts w:ascii="a_Timer(05%) Bashkir" w:hAnsi="a_Timer(05%) Bashkir" w:cs="Arial"/>
          <w:sz w:val="16"/>
          <w:szCs w:val="20"/>
        </w:rPr>
      </w:pPr>
      <w:r w:rsidRPr="00567D8A">
        <w:rPr>
          <w:rFonts w:ascii="a_Timer(05%) Bashkir" w:hAnsi="a_Timer(05%) Bashkir" w:cs="Arial"/>
          <w:sz w:val="16"/>
          <w:szCs w:val="20"/>
        </w:rPr>
        <w:t>(</w:t>
      </w:r>
      <w:r>
        <w:rPr>
          <w:rFonts w:ascii="a_Timer(05%) Bashkir" w:hAnsi="a_Timer(05%) Bashkir" w:cs="Arial"/>
          <w:sz w:val="16"/>
          <w:szCs w:val="20"/>
        </w:rPr>
        <w:t>КАЗАНСКИЙ</w:t>
      </w:r>
      <w:r w:rsidRPr="00567D8A">
        <w:rPr>
          <w:rFonts w:ascii="a_Timer(05%) Bashkir" w:hAnsi="a_Timer(05%) Bashkir" w:cs="Arial"/>
          <w:sz w:val="16"/>
          <w:szCs w:val="20"/>
        </w:rPr>
        <w:t xml:space="preserve"> СЕЛЬСОВЕТ АЛЬШЕЕВСКОГО  РАЙОНА РЕСПУБЛИКИ БАШКОРТОСТАН)</w:t>
      </w:r>
    </w:p>
    <w:p w:rsidR="00FB3AE9" w:rsidRDefault="00FB3AE9" w:rsidP="00FB3A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КАРАР                                    №  56                            РЕШЕНИЕ</w:t>
      </w:r>
    </w:p>
    <w:p w:rsidR="00FB3AE9" w:rsidRDefault="00FB3AE9" w:rsidP="00FB3A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внесении изменений Правила землепользования и застройки сельского поселения Казанский сельсовет муниципального района Альшеевский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B3AE9" w:rsidRPr="00AB3B4A" w:rsidRDefault="00FB3AE9" w:rsidP="00FB3AE9">
      <w:pPr>
        <w:ind w:firstLine="708"/>
        <w:rPr>
          <w:sz w:val="28"/>
          <w:szCs w:val="28"/>
        </w:rPr>
      </w:pPr>
      <w:r w:rsidRPr="00AB3B4A">
        <w:rPr>
          <w:sz w:val="28"/>
          <w:szCs w:val="28"/>
        </w:rPr>
        <w:t>В целях исполнения действующего законодательства в области градостроительной деятельности на основании ст.28 Федерального закона от 06.10.2003г № 131 ФЗ</w:t>
      </w:r>
      <w:proofErr w:type="gramStart"/>
      <w:r w:rsidRPr="00AB3B4A">
        <w:rPr>
          <w:sz w:val="28"/>
          <w:szCs w:val="28"/>
        </w:rPr>
        <w:t xml:space="preserve"> О</w:t>
      </w:r>
      <w:proofErr w:type="gramEnd"/>
      <w:r w:rsidRPr="00AB3B4A">
        <w:rPr>
          <w:sz w:val="28"/>
          <w:szCs w:val="28"/>
        </w:rPr>
        <w:t>б общих принципах организации местного самоуправления в Российской Федерации ст.8.32 ГрК Российской Федерации, руководствоваясь  Уставом сельского поселения Казанский сельсовет муниципального района Альшеевский район Республики Башкортостан Совет сельского поселения Казанский сельсовет муниципального района Альшеевский район Республики Башкортостан решил:</w:t>
      </w:r>
    </w:p>
    <w:p w:rsidR="00FB3AE9" w:rsidRPr="00AB3B4A" w:rsidRDefault="00FB3AE9" w:rsidP="00FB3AE9">
      <w:pPr>
        <w:ind w:firstLine="708"/>
        <w:rPr>
          <w:sz w:val="28"/>
          <w:szCs w:val="28"/>
        </w:rPr>
      </w:pPr>
      <w:proofErr w:type="gramStart"/>
      <w:r w:rsidRPr="00AB3B4A">
        <w:rPr>
          <w:sz w:val="28"/>
          <w:szCs w:val="28"/>
        </w:rPr>
        <w:t>1.Внести изменения ПЗЗ сельского поселения Казанский сельсовет муниципального района Альшеевский район Республики Башкортостан статью № 50  Предельные</w:t>
      </w:r>
      <w:r>
        <w:rPr>
          <w:sz w:val="28"/>
          <w:szCs w:val="28"/>
        </w:rPr>
        <w:t xml:space="preserve"> </w:t>
      </w:r>
      <w:r w:rsidRPr="00AB3B4A">
        <w:rPr>
          <w:sz w:val="28"/>
          <w:szCs w:val="28"/>
        </w:rPr>
        <w:t>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строительства, согласно протокола публичных слушаний по проекту</w:t>
      </w:r>
      <w:r>
        <w:rPr>
          <w:sz w:val="28"/>
          <w:szCs w:val="28"/>
        </w:rPr>
        <w:t xml:space="preserve"> </w:t>
      </w:r>
      <w:r w:rsidRPr="00AB3B4A">
        <w:rPr>
          <w:sz w:val="28"/>
          <w:szCs w:val="28"/>
        </w:rPr>
        <w:t xml:space="preserve"> внесения изменения ПЗЗ сельского поселения Казанский сельсовет муниципального района Альшеевский район  Республики Башкортостан от 13 сентября 2016г.</w:t>
      </w:r>
      <w:proofErr w:type="gramEnd"/>
    </w:p>
    <w:p w:rsidR="00FB3AE9" w:rsidRPr="00AB3B4A" w:rsidRDefault="00FB3AE9" w:rsidP="00FB3AE9">
      <w:pPr>
        <w:ind w:firstLine="708"/>
        <w:rPr>
          <w:sz w:val="28"/>
          <w:szCs w:val="28"/>
        </w:rPr>
      </w:pPr>
      <w:r w:rsidRPr="00AB3B4A">
        <w:rPr>
          <w:sz w:val="28"/>
          <w:szCs w:val="28"/>
        </w:rPr>
        <w:t>2.Настоящее решение обнародовать на информационном стенде и разместить в официальном информационном сайте администрации сельского поселения Казанский сельсовет муниципального района Альшеевский район Республики Башкортостан.</w:t>
      </w:r>
    </w:p>
    <w:p w:rsidR="00FB3AE9" w:rsidRDefault="00FB3AE9" w:rsidP="00FB3AE9">
      <w:pPr>
        <w:ind w:firstLine="708"/>
        <w:rPr>
          <w:sz w:val="28"/>
          <w:szCs w:val="28"/>
        </w:rPr>
      </w:pPr>
      <w:r w:rsidRPr="00AB3B4A">
        <w:rPr>
          <w:sz w:val="28"/>
          <w:szCs w:val="28"/>
        </w:rPr>
        <w:t>3.Конроль за выполнением решения возложить на постоянные комиссии по земельным вопросам, благоустройству и экологии.</w:t>
      </w:r>
    </w:p>
    <w:p w:rsidR="00FB3AE9" w:rsidRPr="00FB3AE9" w:rsidRDefault="00FB3AE9" w:rsidP="00FB3AE9">
      <w:pPr>
        <w:rPr>
          <w:sz w:val="28"/>
          <w:szCs w:val="28"/>
        </w:rPr>
      </w:pPr>
      <w:r w:rsidRPr="00AB3B4A">
        <w:t>Глава сельского поселения</w:t>
      </w:r>
    </w:p>
    <w:p w:rsidR="00FB3AE9" w:rsidRPr="00AB3B4A" w:rsidRDefault="00FB3AE9" w:rsidP="00FB3AE9">
      <w:r w:rsidRPr="00AB3B4A">
        <w:t>Казанский сельсовет</w:t>
      </w:r>
      <w:r>
        <w:t xml:space="preserve">                                                    Юмагузин В.Ф.</w:t>
      </w:r>
    </w:p>
    <w:p w:rsidR="00FB3AE9" w:rsidRDefault="00FB3AE9" w:rsidP="00FB3AE9">
      <w:r>
        <w:t xml:space="preserve">                                 </w:t>
      </w:r>
    </w:p>
    <w:p w:rsidR="00FB3AE9" w:rsidRDefault="00FB3AE9" w:rsidP="00FB3AE9">
      <w:r>
        <w:lastRenderedPageBreak/>
        <w:t xml:space="preserve">                                                                                                                             </w:t>
      </w:r>
    </w:p>
    <w:p w:rsidR="00FB3AE9" w:rsidRDefault="00FB3AE9" w:rsidP="00FB3AE9">
      <w:r>
        <w:t xml:space="preserve">                                                                                                                                                                Приложение</w:t>
      </w:r>
    </w:p>
    <w:p w:rsidR="00FB3AE9" w:rsidRDefault="00FB3AE9" w:rsidP="00FB3AE9">
      <w:pPr>
        <w:jc w:val="right"/>
      </w:pPr>
      <w:r>
        <w:t xml:space="preserve">                                                                                                               к  решению Совета                        сельского поселения Казанский сельсовет</w:t>
      </w:r>
    </w:p>
    <w:p w:rsidR="00FB3AE9" w:rsidRDefault="00FB3AE9" w:rsidP="00FB3AE9">
      <w:pPr>
        <w:jc w:val="right"/>
      </w:pPr>
      <w:r>
        <w:t xml:space="preserve"> муниципального района Альшеевский район </w:t>
      </w:r>
    </w:p>
    <w:p w:rsidR="00FB3AE9" w:rsidRDefault="00FB3AE9" w:rsidP="00FB3AE9">
      <w:pPr>
        <w:jc w:val="right"/>
      </w:pPr>
      <w:r>
        <w:t>Республики Башкортостан</w:t>
      </w:r>
    </w:p>
    <w:p w:rsidR="00FB3AE9" w:rsidRDefault="00FB3AE9" w:rsidP="00FB3AE9">
      <w:r>
        <w:t xml:space="preserve">                                                                                                     </w:t>
      </w:r>
      <w:r w:rsidR="00E25BA2">
        <w:t xml:space="preserve">                                </w:t>
      </w:r>
      <w:r>
        <w:t xml:space="preserve">  от 27 сентября 2016г   № 56</w:t>
      </w:r>
    </w:p>
    <w:p w:rsidR="00FB3AE9" w:rsidRDefault="00FB3AE9" w:rsidP="00FB3AE9"/>
    <w:p w:rsidR="00FB3AE9" w:rsidRPr="00FE2BE3" w:rsidRDefault="00FB3AE9" w:rsidP="00FB3AE9">
      <w:pPr>
        <w:rPr>
          <w:b/>
          <w:color w:val="000000"/>
        </w:rPr>
      </w:pPr>
      <w:r>
        <w:t xml:space="preserve">               </w:t>
      </w:r>
      <w:r w:rsidRPr="00FE2BE3">
        <w:rPr>
          <w:b/>
          <w:color w:val="000000"/>
        </w:rPr>
        <w:t>Статья 50.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FB3AE9" w:rsidRPr="00FE2BE3" w:rsidRDefault="00FB3AE9" w:rsidP="00FB3AE9">
      <w:pPr>
        <w:tabs>
          <w:tab w:val="left" w:pos="5954"/>
          <w:tab w:val="left" w:pos="9640"/>
        </w:tabs>
        <w:rPr>
          <w:b/>
          <w:color w:val="000000"/>
        </w:rPr>
      </w:pPr>
    </w:p>
    <w:p w:rsidR="00FB3AE9" w:rsidRPr="00FE2BE3" w:rsidRDefault="00FB3AE9" w:rsidP="00FB3AE9">
      <w:pPr>
        <w:tabs>
          <w:tab w:val="left" w:pos="5954"/>
          <w:tab w:val="left" w:pos="9640"/>
        </w:tabs>
        <w:rPr>
          <w:color w:val="000000"/>
        </w:rPr>
      </w:pPr>
      <w:r w:rsidRPr="00FE2BE3">
        <w:rPr>
          <w:color w:val="000000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FB3AE9" w:rsidRDefault="00FB3AE9" w:rsidP="00FB3AE9">
      <w:pPr>
        <w:ind w:firstLine="708"/>
        <w:jc w:val="center"/>
        <w:rPr>
          <w:b/>
          <w:color w:val="000000"/>
        </w:rPr>
      </w:pPr>
    </w:p>
    <w:p w:rsidR="00FB3AE9" w:rsidRDefault="00FB3AE9" w:rsidP="00FB3AE9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FB3AE9" w:rsidRDefault="00FB3AE9" w:rsidP="00FB3AE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Таблица 3.</w:t>
      </w:r>
    </w:p>
    <w:tbl>
      <w:tblPr>
        <w:tblW w:w="11357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0"/>
        <w:gridCol w:w="1290"/>
        <w:gridCol w:w="1290"/>
        <w:gridCol w:w="1399"/>
        <w:gridCol w:w="1345"/>
        <w:gridCol w:w="1345"/>
        <w:gridCol w:w="1345"/>
        <w:gridCol w:w="1345"/>
      </w:tblGrid>
      <w:tr w:rsidR="00FB3AE9" w:rsidTr="00A73825">
        <w:trPr>
          <w:trHeight w:val="935"/>
        </w:trPr>
        <w:tc>
          <w:tcPr>
            <w:tcW w:w="828" w:type="dxa"/>
          </w:tcPr>
          <w:p w:rsidR="00FB3AE9" w:rsidRDefault="00FB3AE9" w:rsidP="00A73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Зона</w:t>
            </w: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Минимальная площадь,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Минимальная длина по уличному фронту,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Минимальная ширина на/глубину,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процент застройки, %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Максимальная высота оград,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5" w:type="dxa"/>
          </w:tcPr>
          <w:p w:rsidR="00FB3AE9" w:rsidRPr="00DA4B78" w:rsidRDefault="00FB3AE9" w:rsidP="00A73825">
            <w:pPr>
              <w:jc w:val="center"/>
              <w:rPr>
                <w:color w:val="000000"/>
              </w:rPr>
            </w:pPr>
            <w:r w:rsidRPr="00DA4B78">
              <w:rPr>
                <w:shd w:val="clear" w:color="auto" w:fill="FFFFFF"/>
              </w:rPr>
              <w:t>Минимальные отступы зданий, строений, сооружений от границ земельных участков</w:t>
            </w:r>
            <w:r w:rsidRPr="00DA4B78">
              <w:rPr>
                <w:color w:val="000000"/>
              </w:rPr>
              <w:t xml:space="preserve">, </w:t>
            </w:r>
            <w:proofErr w:type="gramStart"/>
            <w:r w:rsidRPr="00DA4B78">
              <w:rPr>
                <w:color w:val="000000"/>
              </w:rPr>
              <w:t>м</w:t>
            </w:r>
            <w:proofErr w:type="gramEnd"/>
          </w:p>
        </w:tc>
      </w:tr>
      <w:tr w:rsidR="00FB3AE9" w:rsidTr="00A73825"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Ж-1</w:t>
            </w: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0,10-0,12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20-40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ОД-1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-0,1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10-20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Т-1</w:t>
            </w: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П-1</w:t>
            </w:r>
          </w:p>
        </w:tc>
        <w:tc>
          <w:tcPr>
            <w:tcW w:w="1170" w:type="dxa"/>
          </w:tcPr>
          <w:p w:rsidR="00FB3AE9" w:rsidRPr="008625FF" w:rsidRDefault="00FB3AE9" w:rsidP="00A73825">
            <w:pPr>
              <w:jc w:val="center"/>
              <w:rPr>
                <w:color w:val="000000"/>
              </w:rPr>
            </w:pPr>
            <w:r w:rsidRPr="008625FF">
              <w:rPr>
                <w:color w:val="000000"/>
              </w:rPr>
              <w:t>0.5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П-2</w:t>
            </w: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Р-1</w:t>
            </w:r>
          </w:p>
        </w:tc>
        <w:tc>
          <w:tcPr>
            <w:tcW w:w="1170" w:type="dxa"/>
          </w:tcPr>
          <w:p w:rsidR="00FB3AE9" w:rsidRPr="008625FF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8625FF">
              <w:rPr>
                <w:color w:val="000000"/>
              </w:rPr>
              <w:t>5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Р-2</w:t>
            </w: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  <w:lang w:val="en-US"/>
              </w:rPr>
            </w:pPr>
            <w:r w:rsidRPr="008625FF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.5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СП-1</w:t>
            </w: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СП-2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FB3AE9" w:rsidTr="00A73825">
        <w:trPr>
          <w:trHeight w:hRule="exact" w:val="510"/>
        </w:trPr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С-1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FB3AE9" w:rsidRDefault="00FB3AE9" w:rsidP="00A738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0.12-0.5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99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FB3AE9" w:rsidTr="00A73825">
        <w:tc>
          <w:tcPr>
            <w:tcW w:w="828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  <w:p w:rsidR="00FB3AE9" w:rsidRDefault="00FB3AE9" w:rsidP="00A73825">
            <w:pPr>
              <w:rPr>
                <w:color w:val="000000"/>
              </w:rPr>
            </w:pPr>
          </w:p>
        </w:tc>
        <w:tc>
          <w:tcPr>
            <w:tcW w:w="9184" w:type="dxa"/>
            <w:gridSpan w:val="7"/>
            <w:vAlign w:val="center"/>
          </w:tcPr>
          <w:p w:rsidR="00FB3AE9" w:rsidRDefault="00FB3AE9" w:rsidP="00A7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РЕГЛАМЕНТИРУЕТСЯ</w:t>
            </w:r>
          </w:p>
        </w:tc>
        <w:tc>
          <w:tcPr>
            <w:tcW w:w="1345" w:type="dxa"/>
          </w:tcPr>
          <w:p w:rsidR="00FB3AE9" w:rsidRDefault="00FB3AE9" w:rsidP="00A73825">
            <w:pPr>
              <w:jc w:val="center"/>
              <w:rPr>
                <w:color w:val="000000"/>
              </w:rPr>
            </w:pPr>
          </w:p>
        </w:tc>
      </w:tr>
    </w:tbl>
    <w:p w:rsidR="00FB3AE9" w:rsidRPr="00DA4B78" w:rsidRDefault="00FB3AE9" w:rsidP="00FB3AE9">
      <w:pPr>
        <w:shd w:val="clear" w:color="auto" w:fill="FFFFFF"/>
        <w:spacing w:before="125" w:after="125" w:line="501" w:lineRule="atLeast"/>
        <w:jc w:val="center"/>
        <w:outlineLvl w:val="2"/>
        <w:rPr>
          <w:b/>
        </w:rPr>
      </w:pPr>
      <w:r>
        <w:rPr>
          <w:b/>
        </w:rPr>
        <w:t xml:space="preserve">2. </w:t>
      </w:r>
      <w:r w:rsidRPr="00DA4B78">
        <w:rPr>
          <w:b/>
        </w:rPr>
        <w:t>Минимальные отступы зданий, строений, сооружений от границ земельных участков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rPr>
          <w:sz w:val="18"/>
          <w:szCs w:val="18"/>
        </w:rPr>
      </w:pPr>
      <w:r>
        <w:t>2.</w:t>
      </w:r>
      <w:r w:rsidRPr="008625FF">
        <w:t>2. Минимальные отступы от границ земельных участков стен зданий, строений, сооружений без окон: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8625FF">
          <w:t>6 метров</w:t>
        </w:r>
      </w:smartTag>
      <w:r w:rsidRPr="008625FF">
        <w:t xml:space="preserve">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8625FF">
          <w:t>0 метров</w:t>
        </w:r>
      </w:smartTag>
      <w:r w:rsidRPr="008625FF">
        <w:t>.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3. Минимальные отступы от границ земельных участков стен зданий, строений, сооружений с окнами: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8625FF">
          <w:t>6 метров</w:t>
        </w:r>
      </w:smartTag>
      <w:r w:rsidRPr="008625FF">
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</w:r>
      <w:smartTag w:uri="urn:schemas-microsoft-com:office:smarttags" w:element="metricconverter">
        <w:smartTagPr>
          <w:attr w:name="ProductID" w:val="3 метров"/>
        </w:smartTagPr>
        <w:r w:rsidRPr="008625FF">
          <w:t>3 метров</w:t>
        </w:r>
      </w:smartTag>
      <w:r w:rsidRPr="008625FF">
        <w:t>;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8625FF">
          <w:t>0 метров</w:t>
        </w:r>
      </w:smartTag>
      <w:r w:rsidRPr="008625FF">
        <w:t>.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lastRenderedPageBreak/>
        <w:t>2.</w:t>
      </w:r>
      <w:r w:rsidRPr="008625FF">
        <w:t>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для жилых зданий с квартирами в первых этажах и учреждений образования и воспитания,  выходящих на магистральные улицы – </w:t>
      </w:r>
      <w:smartTag w:uri="urn:schemas-microsoft-com:office:smarttags" w:element="metricconverter">
        <w:smartTagPr>
          <w:attr w:name="ProductID" w:val="6 метров"/>
        </w:smartTagPr>
        <w:r w:rsidRPr="008625FF">
          <w:t>6 метров</w:t>
        </w:r>
      </w:smartTag>
      <w:r w:rsidRPr="008625FF">
        <w:t>;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для жилых зданий с квартирами на первых этажах и учреждений образования и воспитания, выходящих на прочие улицы и проезды общего пользования – </w:t>
      </w:r>
      <w:smartTag w:uri="urn:schemas-microsoft-com:office:smarttags" w:element="metricconverter">
        <w:smartTagPr>
          <w:attr w:name="ProductID" w:val="3 метра"/>
        </w:smartTagPr>
        <w:r w:rsidRPr="008625FF">
          <w:t>3 метра</w:t>
        </w:r>
      </w:smartTag>
      <w:r w:rsidRPr="008625FF">
        <w:t>;</w:t>
      </w:r>
    </w:p>
    <w:p w:rsidR="00FB3AE9" w:rsidRPr="008625FF" w:rsidRDefault="00FB3AE9" w:rsidP="00FB3AE9">
      <w:pPr>
        <w:pStyle w:val="a7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для прочих зданий – </w:t>
      </w:r>
      <w:smartTag w:uri="urn:schemas-microsoft-com:office:smarttags" w:element="metricconverter">
        <w:smartTagPr>
          <w:attr w:name="ProductID" w:val="0 метров"/>
        </w:smartTagPr>
        <w:r w:rsidRPr="008625FF">
          <w:t>0 метров</w:t>
        </w:r>
      </w:smartTag>
      <w:r w:rsidRPr="008625FF">
        <w:t>.</w:t>
      </w:r>
    </w:p>
    <w:p w:rsidR="00C47EDB" w:rsidRDefault="00C47EDB"/>
    <w:sectPr w:rsidR="00C47EDB" w:rsidSect="00C4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B3AE9"/>
    <w:rsid w:val="00415894"/>
    <w:rsid w:val="00C47EDB"/>
    <w:rsid w:val="00E25BA2"/>
    <w:rsid w:val="00FB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3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B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E9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FB3A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2016-10-18T10:25:00Z</dcterms:created>
  <dcterms:modified xsi:type="dcterms:W3CDTF">2016-10-19T05:24:00Z</dcterms:modified>
</cp:coreProperties>
</file>